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CFB" w:rsidRDefault="00D84CFB" w:rsidP="003E1C23"/>
    <w:p w:rsidR="00D84CFB" w:rsidRDefault="00D84CFB" w:rsidP="00D84CFB">
      <w:pPr>
        <w:pStyle w:val="Heading4"/>
        <w:numPr>
          <w:ilvl w:val="0"/>
          <w:numId w:val="0"/>
        </w:numPr>
        <w:ind w:left="1166"/>
        <w:jc w:val="center"/>
        <w:rPr>
          <w:rFonts w:ascii="Times New Roman" w:hAnsi="Times New Roman" w:cs="Times New Roman"/>
          <w:b/>
          <w:sz w:val="24"/>
          <w:szCs w:val="24"/>
        </w:rPr>
      </w:pPr>
      <w:r>
        <w:rPr>
          <w:rFonts w:ascii="Times New Roman" w:hAnsi="Times New Roman" w:cs="Times New Roman"/>
          <w:b/>
          <w:sz w:val="24"/>
          <w:szCs w:val="24"/>
        </w:rPr>
        <w:t>Minnesota State Board Policy 5.23</w:t>
      </w:r>
    </w:p>
    <w:p w:rsidR="00D84CFB" w:rsidRDefault="00D84CFB" w:rsidP="00D84CFB">
      <w:pPr>
        <w:pStyle w:val="Heading4"/>
        <w:numPr>
          <w:ilvl w:val="0"/>
          <w:numId w:val="0"/>
        </w:numPr>
        <w:ind w:left="1166"/>
        <w:jc w:val="center"/>
        <w:rPr>
          <w:rFonts w:ascii="Times New Roman" w:hAnsi="Times New Roman" w:cs="Times New Roman"/>
          <w:sz w:val="24"/>
          <w:szCs w:val="24"/>
        </w:rPr>
      </w:pPr>
      <w:r>
        <w:rPr>
          <w:rFonts w:ascii="Times New Roman" w:hAnsi="Times New Roman" w:cs="Times New Roman"/>
          <w:sz w:val="24"/>
          <w:szCs w:val="24"/>
        </w:rPr>
        <w:t>Security &amp; Privacy of Information Resources</w:t>
      </w:r>
    </w:p>
    <w:p w:rsidR="00D84CFB" w:rsidRDefault="00D84CFB" w:rsidP="00D84CFB">
      <w:pPr>
        <w:pStyle w:val="Heading4"/>
        <w:numPr>
          <w:ilvl w:val="0"/>
          <w:numId w:val="0"/>
        </w:numPr>
        <w:ind w:left="1166"/>
        <w:jc w:val="center"/>
        <w:rPr>
          <w:rFonts w:ascii="Times New Roman" w:hAnsi="Times New Roman" w:cs="Times New Roman"/>
          <w:b/>
          <w:sz w:val="24"/>
          <w:szCs w:val="24"/>
        </w:rPr>
      </w:pPr>
      <w:r>
        <w:rPr>
          <w:rFonts w:ascii="Times New Roman" w:hAnsi="Times New Roman" w:cs="Times New Roman"/>
          <w:b/>
          <w:sz w:val="24"/>
          <w:szCs w:val="24"/>
        </w:rPr>
        <w:t>Procedure 5.23.2 &amp; Operating Instructions 5.23.2.1</w:t>
      </w:r>
    </w:p>
    <w:p w:rsidR="00D84CFB" w:rsidRPr="00D84CFB" w:rsidRDefault="00D84CFB" w:rsidP="00D84CFB">
      <w:pPr>
        <w:pStyle w:val="Heading4"/>
        <w:numPr>
          <w:ilvl w:val="0"/>
          <w:numId w:val="0"/>
        </w:numPr>
        <w:ind w:left="1166"/>
        <w:jc w:val="center"/>
        <w:rPr>
          <w:rFonts w:ascii="Times New Roman" w:hAnsi="Times New Roman" w:cs="Times New Roman"/>
          <w:sz w:val="24"/>
          <w:szCs w:val="24"/>
        </w:rPr>
      </w:pPr>
      <w:r>
        <w:rPr>
          <w:rFonts w:ascii="Times New Roman" w:hAnsi="Times New Roman" w:cs="Times New Roman"/>
          <w:sz w:val="24"/>
          <w:szCs w:val="24"/>
        </w:rPr>
        <w:t>Data Security Classification</w:t>
      </w:r>
    </w:p>
    <w:p w:rsidR="003E1C23" w:rsidRPr="00A438F0" w:rsidRDefault="003E1C23" w:rsidP="00D84CFB">
      <w:pPr>
        <w:pStyle w:val="Heading4"/>
        <w:numPr>
          <w:ilvl w:val="0"/>
          <w:numId w:val="0"/>
        </w:numPr>
        <w:rPr>
          <w:rFonts w:ascii="Times New Roman" w:hAnsi="Times New Roman" w:cs="Times New Roman"/>
          <w:sz w:val="24"/>
          <w:szCs w:val="24"/>
        </w:rPr>
      </w:pPr>
    </w:p>
    <w:tbl>
      <w:tblPr>
        <w:tblStyle w:val="TableGrid"/>
        <w:tblW w:w="9535" w:type="dxa"/>
        <w:tblLook w:val="04A0" w:firstRow="1" w:lastRow="0" w:firstColumn="1" w:lastColumn="0" w:noHBand="0" w:noVBand="1"/>
      </w:tblPr>
      <w:tblGrid>
        <w:gridCol w:w="1615"/>
        <w:gridCol w:w="3420"/>
        <w:gridCol w:w="4500"/>
      </w:tblGrid>
      <w:tr w:rsidR="003E1C23" w:rsidRPr="00310A58" w:rsidTr="008875B9">
        <w:tc>
          <w:tcPr>
            <w:tcW w:w="1615" w:type="dxa"/>
          </w:tcPr>
          <w:p w:rsidR="003E1C23" w:rsidRPr="00A438F0" w:rsidRDefault="003E1C23" w:rsidP="008875B9">
            <w:pPr>
              <w:jc w:val="center"/>
              <w:rPr>
                <w:b/>
                <w:u w:val="single"/>
              </w:rPr>
            </w:pPr>
            <w:r w:rsidRPr="00310A58">
              <w:rPr>
                <w:b/>
                <w:u w:val="single"/>
              </w:rPr>
              <w:t>Data Security Classification</w:t>
            </w:r>
          </w:p>
        </w:tc>
        <w:tc>
          <w:tcPr>
            <w:tcW w:w="3420" w:type="dxa"/>
          </w:tcPr>
          <w:p w:rsidR="003E1C23" w:rsidRPr="00A438F0" w:rsidRDefault="003E1C23" w:rsidP="008875B9">
            <w:pPr>
              <w:jc w:val="center"/>
              <w:rPr>
                <w:b/>
                <w:u w:val="single"/>
              </w:rPr>
            </w:pPr>
            <w:r w:rsidRPr="00310A58">
              <w:rPr>
                <w:b/>
                <w:u w:val="single"/>
              </w:rPr>
              <w:t>Definition</w:t>
            </w:r>
          </w:p>
        </w:tc>
        <w:tc>
          <w:tcPr>
            <w:tcW w:w="4500" w:type="dxa"/>
          </w:tcPr>
          <w:p w:rsidR="003E1C23" w:rsidRDefault="003E1C23" w:rsidP="008875B9">
            <w:pPr>
              <w:jc w:val="center"/>
              <w:rPr>
                <w:b/>
                <w:u w:val="single"/>
              </w:rPr>
            </w:pPr>
            <w:r w:rsidRPr="00310A58">
              <w:rPr>
                <w:b/>
                <w:u w:val="single"/>
              </w:rPr>
              <w:t xml:space="preserve">Highly Restricted Data Elements </w:t>
            </w:r>
          </w:p>
          <w:p w:rsidR="003E1C23" w:rsidRPr="00A438F0" w:rsidRDefault="003E1C23" w:rsidP="008875B9">
            <w:pPr>
              <w:jc w:val="center"/>
              <w:rPr>
                <w:b/>
                <w:u w:val="single"/>
              </w:rPr>
            </w:pPr>
            <w:r w:rsidRPr="00310A58">
              <w:rPr>
                <w:b/>
                <w:u w:val="single"/>
              </w:rPr>
              <w:t>(This is an Exhaustive List)</w:t>
            </w:r>
          </w:p>
        </w:tc>
      </w:tr>
      <w:tr w:rsidR="003E1C23" w:rsidRPr="00310A58" w:rsidTr="008875B9">
        <w:trPr>
          <w:trHeight w:val="4661"/>
        </w:trPr>
        <w:tc>
          <w:tcPr>
            <w:tcW w:w="1615" w:type="dxa"/>
          </w:tcPr>
          <w:p w:rsidR="003E1C23" w:rsidRPr="00A438F0" w:rsidRDefault="003E1C23" w:rsidP="008875B9">
            <w:pPr>
              <w:spacing w:before="240"/>
              <w:jc w:val="center"/>
            </w:pPr>
            <w:r w:rsidRPr="00A438F0">
              <w:rPr>
                <w:b/>
                <w:bCs/>
                <w:color w:val="3F3C30"/>
              </w:rPr>
              <w:t>Highly Restricted</w:t>
            </w:r>
          </w:p>
        </w:tc>
        <w:tc>
          <w:tcPr>
            <w:tcW w:w="3420" w:type="dxa"/>
          </w:tcPr>
          <w:p w:rsidR="003E1C23" w:rsidRPr="00A438F0" w:rsidRDefault="003E1C23" w:rsidP="008875B9">
            <w:r w:rsidRPr="00A438F0">
              <w:t xml:space="preserve">Institutional </w:t>
            </w:r>
            <w:r>
              <w:t>d</w:t>
            </w:r>
            <w:r w:rsidRPr="00A438F0">
              <w:t xml:space="preserve">ata must be </w:t>
            </w:r>
            <w:r>
              <w:t>classified as "h</w:t>
            </w:r>
            <w:r w:rsidRPr="00A438F0">
              <w:t xml:space="preserve">ighly </w:t>
            </w:r>
            <w:r>
              <w:t>r</w:t>
            </w:r>
            <w:r w:rsidRPr="00A438F0">
              <w:t>estricted" if the data requires limiting access to only persons with a legitimate need to know, and:</w:t>
            </w:r>
          </w:p>
          <w:p w:rsidR="003E1C23" w:rsidRPr="00310A58" w:rsidRDefault="003E1C23" w:rsidP="003E1C23">
            <w:pPr>
              <w:pStyle w:val="ListParagraph"/>
              <w:numPr>
                <w:ilvl w:val="0"/>
                <w:numId w:val="4"/>
              </w:numPr>
              <w:spacing w:after="150"/>
              <w:ind w:left="522"/>
            </w:pPr>
            <w:r w:rsidRPr="00A438F0">
              <w:rPr>
                <w:rFonts w:eastAsia="Garamond"/>
                <w:bCs/>
              </w:rPr>
              <w:t>the data elements for which loss of confidentiality is sufficient to assume a person</w:t>
            </w:r>
            <w:r>
              <w:rPr>
                <w:rFonts w:eastAsia="Garamond"/>
                <w:bCs/>
              </w:rPr>
              <w:t>’</w:t>
            </w:r>
            <w:r w:rsidRPr="00A438F0">
              <w:rPr>
                <w:rFonts w:eastAsia="Garamond"/>
                <w:bCs/>
              </w:rPr>
              <w:t>s identity in financial transactions; or</w:t>
            </w:r>
          </w:p>
          <w:p w:rsidR="003E1C23" w:rsidRPr="00A438F0" w:rsidRDefault="003E1C23" w:rsidP="003E1C23">
            <w:pPr>
              <w:pStyle w:val="ListParagraph"/>
              <w:numPr>
                <w:ilvl w:val="0"/>
                <w:numId w:val="4"/>
              </w:numPr>
              <w:spacing w:after="150"/>
              <w:ind w:left="522"/>
            </w:pPr>
            <w:r w:rsidRPr="00A438F0">
              <w:rPr>
                <w:rFonts w:eastAsia="Garamond"/>
                <w:bCs/>
              </w:rPr>
              <w:t>by law, regulation, or contract, the data requires high-level security controls, or</w:t>
            </w:r>
          </w:p>
          <w:p w:rsidR="003E1C23" w:rsidRPr="00A438F0" w:rsidRDefault="003E1C23" w:rsidP="003E1C23">
            <w:pPr>
              <w:pStyle w:val="ListParagraph"/>
              <w:numPr>
                <w:ilvl w:val="0"/>
                <w:numId w:val="4"/>
              </w:numPr>
              <w:spacing w:after="150"/>
              <w:ind w:left="522"/>
            </w:pPr>
            <w:proofErr w:type="gramStart"/>
            <w:r w:rsidRPr="00A438F0">
              <w:rPr>
                <w:rFonts w:eastAsia="Garamond"/>
                <w:bCs/>
              </w:rPr>
              <w:t>the</w:t>
            </w:r>
            <w:proofErr w:type="gramEnd"/>
            <w:r w:rsidRPr="00A438F0">
              <w:rPr>
                <w:rFonts w:eastAsia="Garamond"/>
                <w:bCs/>
              </w:rPr>
              <w:t xml:space="preserve"> loss of confidentiality could cause significant personal or institutional harm.</w:t>
            </w:r>
          </w:p>
        </w:tc>
        <w:tc>
          <w:tcPr>
            <w:tcW w:w="4500" w:type="dxa"/>
          </w:tcPr>
          <w:p w:rsidR="003E1C23" w:rsidRPr="00A438F0" w:rsidRDefault="003E1C23" w:rsidP="003E1C23">
            <w:pPr>
              <w:numPr>
                <w:ilvl w:val="0"/>
                <w:numId w:val="4"/>
              </w:numPr>
              <w:spacing w:before="100" w:beforeAutospacing="1" w:after="100" w:afterAutospacing="1"/>
              <w:ind w:left="252" w:hanging="270"/>
            </w:pPr>
            <w:r>
              <w:t>Social security n</w:t>
            </w:r>
            <w:r w:rsidRPr="00A438F0">
              <w:t>umbers</w:t>
            </w:r>
          </w:p>
          <w:p w:rsidR="003E1C23" w:rsidRPr="00A438F0" w:rsidRDefault="003E1C23" w:rsidP="003E1C23">
            <w:pPr>
              <w:numPr>
                <w:ilvl w:val="0"/>
                <w:numId w:val="4"/>
              </w:numPr>
              <w:spacing w:before="100" w:beforeAutospacing="1" w:after="100" w:afterAutospacing="1"/>
              <w:ind w:left="252" w:hanging="270"/>
            </w:pPr>
            <w:r w:rsidRPr="00A438F0">
              <w:t>Credit</w:t>
            </w:r>
            <w:r>
              <w:t>/p</w:t>
            </w:r>
            <w:r w:rsidRPr="00A438F0">
              <w:t>ayment</w:t>
            </w:r>
            <w:r>
              <w:t xml:space="preserve"> card n</w:t>
            </w:r>
            <w:r w:rsidRPr="00A438F0">
              <w:t>umbers and related information</w:t>
            </w:r>
          </w:p>
          <w:p w:rsidR="003E1C23" w:rsidRPr="00A438F0" w:rsidRDefault="003E1C23" w:rsidP="003E1C23">
            <w:pPr>
              <w:numPr>
                <w:ilvl w:val="0"/>
                <w:numId w:val="4"/>
              </w:numPr>
              <w:spacing w:before="100" w:beforeAutospacing="1" w:after="100" w:afterAutospacing="1"/>
              <w:ind w:left="252" w:hanging="270"/>
            </w:pPr>
            <w:r w:rsidRPr="00A438F0">
              <w:t xml:space="preserve">Financial </w:t>
            </w:r>
            <w:r>
              <w:t>account n</w:t>
            </w:r>
            <w:r w:rsidRPr="00A438F0">
              <w:t>umbers such as banking or investment account numbers</w:t>
            </w:r>
          </w:p>
          <w:p w:rsidR="003E1C23" w:rsidRPr="00A438F0" w:rsidRDefault="003E1C23" w:rsidP="003E1C23">
            <w:pPr>
              <w:numPr>
                <w:ilvl w:val="0"/>
                <w:numId w:val="4"/>
              </w:numPr>
              <w:spacing w:before="100" w:beforeAutospacing="1" w:after="100" w:afterAutospacing="1"/>
              <w:ind w:left="252" w:hanging="270"/>
            </w:pPr>
            <w:r w:rsidRPr="00A438F0">
              <w:t>Security or access codes or passwords</w:t>
            </w:r>
            <w:r>
              <w:t xml:space="preserve"> used to access highly r</w:t>
            </w:r>
            <w:r w:rsidRPr="00A438F0">
              <w:t>estricted data</w:t>
            </w:r>
          </w:p>
          <w:p w:rsidR="003E1C23" w:rsidRPr="00A438F0" w:rsidRDefault="003E1C23" w:rsidP="003E1C23">
            <w:pPr>
              <w:numPr>
                <w:ilvl w:val="0"/>
                <w:numId w:val="4"/>
              </w:numPr>
              <w:spacing w:before="100" w:beforeAutospacing="1" w:after="100" w:afterAutospacing="1"/>
              <w:ind w:left="252" w:hanging="270"/>
            </w:pPr>
            <w:r w:rsidRPr="00A438F0">
              <w:t xml:space="preserve">Personal </w:t>
            </w:r>
            <w:r>
              <w:t>h</w:t>
            </w:r>
            <w:r w:rsidRPr="00A438F0">
              <w:t>ealth/</w:t>
            </w:r>
            <w:r>
              <w:t>m</w:t>
            </w:r>
            <w:r w:rsidRPr="00A438F0">
              <w:t xml:space="preserve">edical </w:t>
            </w:r>
            <w:r>
              <w:t>i</w:t>
            </w:r>
            <w:r w:rsidRPr="00A438F0">
              <w:t>nformation</w:t>
            </w:r>
            <w:r>
              <w:t xml:space="preserve"> including insurance policy ID n</w:t>
            </w:r>
            <w:r w:rsidRPr="00A438F0">
              <w:t>umbers and any information covered under HIPAA</w:t>
            </w:r>
          </w:p>
          <w:p w:rsidR="003E1C23" w:rsidRPr="00A438F0" w:rsidRDefault="003E1C23" w:rsidP="003E1C23">
            <w:pPr>
              <w:numPr>
                <w:ilvl w:val="0"/>
                <w:numId w:val="4"/>
              </w:numPr>
              <w:spacing w:before="100" w:beforeAutospacing="1" w:after="100" w:afterAutospacing="1"/>
              <w:ind w:left="252" w:hanging="270"/>
            </w:pPr>
            <w:r>
              <w:t>Non-public</w:t>
            </w:r>
            <w:r w:rsidRPr="00A438F0">
              <w:t xml:space="preserve"> investigation data (determined by legal counsel)</w:t>
            </w:r>
          </w:p>
          <w:p w:rsidR="003E1C23" w:rsidRPr="00A438F0" w:rsidRDefault="003E1C23" w:rsidP="003E1C23">
            <w:pPr>
              <w:numPr>
                <w:ilvl w:val="0"/>
                <w:numId w:val="4"/>
              </w:numPr>
              <w:spacing w:before="100" w:beforeAutospacing="1" w:after="100" w:afterAutospacing="1"/>
              <w:ind w:left="252" w:hanging="270"/>
            </w:pPr>
            <w:r w:rsidRPr="00A438F0">
              <w:t xml:space="preserve">Credentials for IT </w:t>
            </w:r>
            <w:r>
              <w:t>s</w:t>
            </w:r>
            <w:r w:rsidRPr="00A438F0">
              <w:t xml:space="preserve">ystems that manage data elements in this classification level </w:t>
            </w:r>
          </w:p>
          <w:p w:rsidR="003E1C23" w:rsidRPr="00A438F0" w:rsidRDefault="003E1C23" w:rsidP="003E1C23">
            <w:pPr>
              <w:numPr>
                <w:ilvl w:val="0"/>
                <w:numId w:val="4"/>
              </w:numPr>
              <w:spacing w:before="100" w:beforeAutospacing="1" w:after="100" w:afterAutospacing="1"/>
              <w:ind w:left="252" w:hanging="270"/>
            </w:pPr>
            <w:r w:rsidRPr="00A438F0">
              <w:t>Biometric information</w:t>
            </w:r>
          </w:p>
          <w:p w:rsidR="003E1C23" w:rsidRPr="00A438F0" w:rsidRDefault="003E1C23" w:rsidP="003E1C23">
            <w:pPr>
              <w:numPr>
                <w:ilvl w:val="0"/>
                <w:numId w:val="4"/>
              </w:numPr>
              <w:spacing w:before="100" w:beforeAutospacing="1" w:after="100" w:afterAutospacing="1"/>
              <w:ind w:left="252" w:hanging="270"/>
            </w:pPr>
            <w:r w:rsidRPr="00A438F0">
              <w:t>Trade secret or intellectual property protected by a non-disclosure agreement</w:t>
            </w:r>
          </w:p>
        </w:tc>
      </w:tr>
      <w:tr w:rsidR="003E1C23" w:rsidRPr="00310A58" w:rsidTr="008875B9">
        <w:trPr>
          <w:trHeight w:val="144"/>
        </w:trPr>
        <w:tc>
          <w:tcPr>
            <w:tcW w:w="1615" w:type="dxa"/>
          </w:tcPr>
          <w:p w:rsidR="003E1C23" w:rsidRPr="00A438F0" w:rsidRDefault="003E1C23" w:rsidP="008875B9">
            <w:pPr>
              <w:rPr>
                <w:b/>
                <w:bCs/>
                <w:color w:val="3F3C30"/>
              </w:rPr>
            </w:pPr>
            <w:r w:rsidRPr="00310A58">
              <w:rPr>
                <w:b/>
                <w:u w:val="single"/>
              </w:rPr>
              <w:t>Data Security Classification</w:t>
            </w:r>
          </w:p>
        </w:tc>
        <w:tc>
          <w:tcPr>
            <w:tcW w:w="3420" w:type="dxa"/>
          </w:tcPr>
          <w:p w:rsidR="003E1C23" w:rsidRPr="00A438F0" w:rsidRDefault="003E1C23" w:rsidP="008875B9">
            <w:pPr>
              <w:spacing w:after="150"/>
              <w:jc w:val="center"/>
            </w:pPr>
            <w:r w:rsidRPr="00310A58">
              <w:rPr>
                <w:b/>
                <w:u w:val="single"/>
              </w:rPr>
              <w:t>Definition</w:t>
            </w:r>
          </w:p>
        </w:tc>
        <w:tc>
          <w:tcPr>
            <w:tcW w:w="4500" w:type="dxa"/>
          </w:tcPr>
          <w:p w:rsidR="003E1C23" w:rsidRPr="00A438F0" w:rsidRDefault="003E1C23" w:rsidP="008875B9">
            <w:pPr>
              <w:ind w:left="-14"/>
              <w:jc w:val="center"/>
              <w:rPr>
                <w:b/>
                <w:u w:val="single"/>
              </w:rPr>
            </w:pPr>
            <w:r w:rsidRPr="00310A58">
              <w:rPr>
                <w:b/>
                <w:u w:val="single"/>
              </w:rPr>
              <w:t>Restricted Data Elements</w:t>
            </w:r>
          </w:p>
          <w:p w:rsidR="003E1C23" w:rsidRPr="00A438F0" w:rsidRDefault="003E1C23" w:rsidP="008875B9">
            <w:pPr>
              <w:ind w:left="-14"/>
              <w:jc w:val="center"/>
              <w:rPr>
                <w:b/>
                <w:u w:val="single"/>
              </w:rPr>
            </w:pPr>
            <w:r w:rsidRPr="00310A58">
              <w:rPr>
                <w:b/>
                <w:u w:val="single"/>
              </w:rPr>
              <w:t>(Not an Exhaustive List)</w:t>
            </w:r>
          </w:p>
        </w:tc>
      </w:tr>
      <w:tr w:rsidR="003E1C23" w:rsidRPr="00310A58" w:rsidTr="008875B9">
        <w:tc>
          <w:tcPr>
            <w:tcW w:w="1615" w:type="dxa"/>
          </w:tcPr>
          <w:p w:rsidR="003E1C23" w:rsidRPr="00A438F0" w:rsidRDefault="003E1C23" w:rsidP="008875B9">
            <w:pPr>
              <w:spacing w:before="240"/>
              <w:jc w:val="center"/>
            </w:pPr>
            <w:r w:rsidRPr="00A438F0">
              <w:rPr>
                <w:b/>
                <w:bCs/>
                <w:color w:val="3F3C30"/>
              </w:rPr>
              <w:t>Restricted</w:t>
            </w:r>
          </w:p>
        </w:tc>
        <w:tc>
          <w:tcPr>
            <w:tcW w:w="3420" w:type="dxa"/>
          </w:tcPr>
          <w:p w:rsidR="003E1C23" w:rsidRPr="00A438F0" w:rsidRDefault="003E1C23" w:rsidP="008875B9">
            <w:pPr>
              <w:rPr>
                <w:rFonts w:eastAsia="Garamond"/>
                <w:bCs/>
              </w:rPr>
            </w:pPr>
            <w:r>
              <w:rPr>
                <w:rFonts w:eastAsia="Garamond"/>
                <w:bCs/>
              </w:rPr>
              <w:t>Institutional d</w:t>
            </w:r>
            <w:r w:rsidRPr="00A438F0">
              <w:rPr>
                <w:rFonts w:eastAsia="Garamond"/>
                <w:bCs/>
              </w:rPr>
              <w:t xml:space="preserve">ata must be </w:t>
            </w:r>
            <w:r>
              <w:rPr>
                <w:rFonts w:eastAsia="Garamond"/>
                <w:bCs/>
              </w:rPr>
              <w:t>classified as “r</w:t>
            </w:r>
            <w:r w:rsidRPr="00A438F0">
              <w:rPr>
                <w:rFonts w:eastAsia="Garamond"/>
                <w:bCs/>
              </w:rPr>
              <w:t xml:space="preserve">estricted” if </w:t>
            </w:r>
            <w:r>
              <w:rPr>
                <w:rFonts w:eastAsia="Garamond"/>
                <w:bCs/>
              </w:rPr>
              <w:t>it does not classify as “h</w:t>
            </w:r>
            <w:r w:rsidRPr="00A438F0">
              <w:rPr>
                <w:rFonts w:eastAsia="Garamond"/>
                <w:bCs/>
              </w:rPr>
              <w:t xml:space="preserve">ighly </w:t>
            </w:r>
            <w:r>
              <w:rPr>
                <w:rFonts w:eastAsia="Garamond"/>
                <w:bCs/>
              </w:rPr>
              <w:t>r</w:t>
            </w:r>
            <w:r w:rsidRPr="00A438F0">
              <w:rPr>
                <w:rFonts w:eastAsia="Garamond"/>
                <w:bCs/>
              </w:rPr>
              <w:t>estricted</w:t>
            </w:r>
            <w:r>
              <w:rPr>
                <w:rFonts w:eastAsia="Garamond"/>
                <w:bCs/>
              </w:rPr>
              <w:t>”</w:t>
            </w:r>
            <w:r w:rsidRPr="00A438F0">
              <w:rPr>
                <w:rFonts w:eastAsia="Garamond"/>
                <w:bCs/>
              </w:rPr>
              <w:t xml:space="preserve"> but the data:</w:t>
            </w:r>
          </w:p>
          <w:p w:rsidR="003E1C23" w:rsidRPr="00A438F0" w:rsidRDefault="003E1C23" w:rsidP="003E1C23">
            <w:pPr>
              <w:pStyle w:val="ListParagraph"/>
              <w:numPr>
                <w:ilvl w:val="0"/>
                <w:numId w:val="5"/>
              </w:numPr>
              <w:ind w:left="522"/>
              <w:rPr>
                <w:rFonts w:eastAsia="Garamond"/>
                <w:bCs/>
              </w:rPr>
            </w:pPr>
            <w:r>
              <w:rPr>
                <w:rFonts w:eastAsia="Garamond"/>
                <w:bCs/>
              </w:rPr>
              <w:t>by law is not public d</w:t>
            </w:r>
            <w:r w:rsidRPr="00A438F0">
              <w:rPr>
                <w:rFonts w:eastAsia="Garamond"/>
                <w:bCs/>
              </w:rPr>
              <w:t>ata, or</w:t>
            </w:r>
          </w:p>
          <w:p w:rsidR="003E1C23" w:rsidRPr="00A438F0" w:rsidRDefault="003E1C23" w:rsidP="003E1C23">
            <w:pPr>
              <w:pStyle w:val="ListParagraph"/>
              <w:numPr>
                <w:ilvl w:val="0"/>
                <w:numId w:val="5"/>
              </w:numPr>
              <w:ind w:left="522"/>
              <w:rPr>
                <w:rFonts w:eastAsia="Garamond"/>
                <w:bCs/>
              </w:rPr>
            </w:pPr>
            <w:r w:rsidRPr="00A438F0">
              <w:t>requires limiting access to only persons with a legitimate need to know</w:t>
            </w:r>
            <w:r w:rsidRPr="00A438F0">
              <w:rPr>
                <w:rFonts w:eastAsia="Garamond"/>
                <w:bCs/>
              </w:rPr>
              <w:t xml:space="preserve">, or </w:t>
            </w:r>
          </w:p>
          <w:p w:rsidR="003E1C23" w:rsidRPr="00A438F0" w:rsidRDefault="003E1C23" w:rsidP="003E1C23">
            <w:pPr>
              <w:pStyle w:val="ListParagraph"/>
              <w:numPr>
                <w:ilvl w:val="0"/>
                <w:numId w:val="4"/>
              </w:numPr>
              <w:spacing w:after="150"/>
              <w:ind w:left="522"/>
              <w:rPr>
                <w:color w:val="3F3C30"/>
              </w:rPr>
            </w:pPr>
            <w:proofErr w:type="gramStart"/>
            <w:r>
              <w:rPr>
                <w:rFonts w:eastAsia="Garamond"/>
                <w:bCs/>
              </w:rPr>
              <w:t>whose</w:t>
            </w:r>
            <w:proofErr w:type="gramEnd"/>
            <w:r>
              <w:rPr>
                <w:rFonts w:eastAsia="Garamond"/>
                <w:bCs/>
              </w:rPr>
              <w:t xml:space="preserve"> unauthorized disclosure</w:t>
            </w:r>
            <w:r w:rsidRPr="00A438F0">
              <w:rPr>
                <w:rFonts w:eastAsia="Garamond"/>
                <w:bCs/>
              </w:rPr>
              <w:t xml:space="preserve"> will require statutory notification to affected parties (i.e.</w:t>
            </w:r>
            <w:r>
              <w:rPr>
                <w:rFonts w:eastAsia="Garamond"/>
                <w:bCs/>
              </w:rPr>
              <w:t>,</w:t>
            </w:r>
            <w:r w:rsidRPr="00A438F0">
              <w:rPr>
                <w:rFonts w:eastAsia="Garamond"/>
                <w:bCs/>
              </w:rPr>
              <w:t xml:space="preserve"> breach notification).</w:t>
            </w:r>
          </w:p>
          <w:p w:rsidR="003E1C23" w:rsidRPr="00A438F0" w:rsidRDefault="003E1C23" w:rsidP="008875B9"/>
        </w:tc>
        <w:tc>
          <w:tcPr>
            <w:tcW w:w="4500" w:type="dxa"/>
          </w:tcPr>
          <w:p w:rsidR="003E1C23" w:rsidRPr="00A438F0" w:rsidRDefault="003E1C23" w:rsidP="003E1C23">
            <w:pPr>
              <w:numPr>
                <w:ilvl w:val="0"/>
                <w:numId w:val="2"/>
              </w:numPr>
              <w:tabs>
                <w:tab w:val="clear" w:pos="720"/>
                <w:tab w:val="num" w:pos="360"/>
              </w:tabs>
              <w:spacing w:before="100" w:beforeAutospacing="1" w:after="100" w:afterAutospacing="1"/>
              <w:ind w:left="342"/>
            </w:pPr>
            <w:r>
              <w:t>Student r</w:t>
            </w:r>
            <w:r w:rsidRPr="00A438F0">
              <w:t>ecords – admission applications, transcripts, exam papers, test scores, evaluations, grades, student discipline, student class schedule, student worker information, financial aid</w:t>
            </w:r>
            <w:r>
              <w:t>,</w:t>
            </w:r>
            <w:r w:rsidRPr="00A438F0">
              <w:t xml:space="preserve"> and loan collection records </w:t>
            </w:r>
          </w:p>
          <w:p w:rsidR="003E1C23" w:rsidRPr="00A438F0" w:rsidRDefault="003E1C23" w:rsidP="003E1C23">
            <w:pPr>
              <w:numPr>
                <w:ilvl w:val="0"/>
                <w:numId w:val="2"/>
              </w:numPr>
              <w:tabs>
                <w:tab w:val="clear" w:pos="720"/>
                <w:tab w:val="num" w:pos="360"/>
              </w:tabs>
              <w:spacing w:before="100" w:beforeAutospacing="1" w:after="100" w:afterAutospacing="1"/>
              <w:ind w:left="342"/>
            </w:pPr>
            <w:r>
              <w:t>Student d</w:t>
            </w:r>
            <w:r w:rsidRPr="00A438F0">
              <w:t>irectory information that has been suppressed by the student</w:t>
            </w:r>
          </w:p>
          <w:p w:rsidR="003E1C23" w:rsidRPr="00A438F0" w:rsidRDefault="003E1C23" w:rsidP="003E1C23">
            <w:pPr>
              <w:numPr>
                <w:ilvl w:val="0"/>
                <w:numId w:val="2"/>
              </w:numPr>
              <w:tabs>
                <w:tab w:val="clear" w:pos="720"/>
                <w:tab w:val="num" w:pos="360"/>
              </w:tabs>
              <w:spacing w:before="100" w:beforeAutospacing="1" w:after="100" w:afterAutospacing="1"/>
              <w:ind w:left="342"/>
            </w:pPr>
            <w:r w:rsidRPr="00A438F0">
              <w:t>Student class lists</w:t>
            </w:r>
          </w:p>
          <w:p w:rsidR="003E1C23" w:rsidRPr="00A438F0" w:rsidRDefault="003E1C23" w:rsidP="003E1C23">
            <w:pPr>
              <w:numPr>
                <w:ilvl w:val="0"/>
                <w:numId w:val="2"/>
              </w:numPr>
              <w:tabs>
                <w:tab w:val="clear" w:pos="720"/>
                <w:tab w:val="num" w:pos="360"/>
              </w:tabs>
              <w:spacing w:before="100" w:beforeAutospacing="1" w:after="100" w:afterAutospacing="1"/>
              <w:ind w:left="342"/>
            </w:pPr>
            <w:r w:rsidRPr="00A438F0">
              <w:t>College, university, system office</w:t>
            </w:r>
            <w:r>
              <w:t>,</w:t>
            </w:r>
            <w:r w:rsidRPr="00A438F0">
              <w:t xml:space="preserve"> or faculty trade secret or intellectual property </w:t>
            </w:r>
          </w:p>
          <w:p w:rsidR="003E1C23" w:rsidRPr="00A438F0" w:rsidRDefault="003E1C23" w:rsidP="003E1C23">
            <w:pPr>
              <w:numPr>
                <w:ilvl w:val="0"/>
                <w:numId w:val="2"/>
              </w:numPr>
              <w:tabs>
                <w:tab w:val="clear" w:pos="720"/>
                <w:tab w:val="num" w:pos="360"/>
              </w:tabs>
              <w:spacing w:before="100" w:beforeAutospacing="1" w:after="100" w:afterAutospacing="1"/>
              <w:ind w:left="342"/>
            </w:pPr>
            <w:r w:rsidRPr="00A438F0">
              <w:t>Library use information</w:t>
            </w:r>
          </w:p>
          <w:p w:rsidR="003E1C23" w:rsidRPr="00A438F0" w:rsidRDefault="003E1C23" w:rsidP="003E1C23">
            <w:pPr>
              <w:numPr>
                <w:ilvl w:val="0"/>
                <w:numId w:val="2"/>
              </w:numPr>
              <w:tabs>
                <w:tab w:val="clear" w:pos="720"/>
                <w:tab w:val="num" w:pos="360"/>
              </w:tabs>
              <w:spacing w:before="100" w:beforeAutospacing="1" w:after="100" w:afterAutospacing="1"/>
              <w:ind w:left="342"/>
            </w:pPr>
            <w:r w:rsidRPr="00A438F0">
              <w:t>Individual demographics including age, race, ethnicity, gender, citizenship, visa status, veteran or disability status, employee home address/phone, dependent information</w:t>
            </w:r>
          </w:p>
          <w:p w:rsidR="003E1C23" w:rsidRPr="00A438F0" w:rsidRDefault="003E1C23" w:rsidP="003E1C23">
            <w:pPr>
              <w:numPr>
                <w:ilvl w:val="0"/>
                <w:numId w:val="2"/>
              </w:numPr>
              <w:tabs>
                <w:tab w:val="clear" w:pos="720"/>
                <w:tab w:val="num" w:pos="360"/>
              </w:tabs>
              <w:spacing w:before="100" w:beforeAutospacing="1" w:after="100" w:afterAutospacing="1"/>
              <w:ind w:left="342"/>
            </w:pPr>
            <w:r w:rsidRPr="00A438F0">
              <w:lastRenderedPageBreak/>
              <w:t>Faculty/staff employment applications, personnel files, benefits information,  birth date, and personal contact information</w:t>
            </w:r>
          </w:p>
          <w:p w:rsidR="003E1C23" w:rsidRPr="00A438F0" w:rsidRDefault="003E1C23" w:rsidP="003E1C23">
            <w:pPr>
              <w:numPr>
                <w:ilvl w:val="0"/>
                <w:numId w:val="2"/>
              </w:numPr>
              <w:tabs>
                <w:tab w:val="clear" w:pos="720"/>
                <w:tab w:val="num" w:pos="360"/>
              </w:tabs>
              <w:spacing w:before="100" w:beforeAutospacing="1" w:after="100" w:afterAutospacing="1"/>
              <w:ind w:left="342"/>
            </w:pPr>
            <w:r w:rsidRPr="00A438F0">
              <w:t>Donor contact information and non-public gift amounts</w:t>
            </w:r>
          </w:p>
          <w:p w:rsidR="003E1C23" w:rsidRPr="00A438F0" w:rsidRDefault="003E1C23" w:rsidP="003E1C23">
            <w:pPr>
              <w:numPr>
                <w:ilvl w:val="0"/>
                <w:numId w:val="2"/>
              </w:numPr>
              <w:tabs>
                <w:tab w:val="clear" w:pos="720"/>
                <w:tab w:val="num" w:pos="360"/>
              </w:tabs>
              <w:spacing w:before="100" w:beforeAutospacing="1" w:after="100" w:afterAutospacing="1"/>
              <w:ind w:left="342"/>
            </w:pPr>
            <w:r w:rsidRPr="00A438F0">
              <w:t>Privileged attorney-client communications</w:t>
            </w:r>
          </w:p>
          <w:p w:rsidR="003E1C23" w:rsidRPr="00A438F0" w:rsidRDefault="003E1C23" w:rsidP="003E1C23">
            <w:pPr>
              <w:numPr>
                <w:ilvl w:val="0"/>
                <w:numId w:val="2"/>
              </w:numPr>
              <w:tabs>
                <w:tab w:val="clear" w:pos="720"/>
                <w:tab w:val="num" w:pos="360"/>
              </w:tabs>
              <w:spacing w:before="100" w:beforeAutospacing="1" w:after="100" w:afterAutospacing="1"/>
              <w:ind w:left="342"/>
            </w:pPr>
            <w:r>
              <w:t xml:space="preserve">College, university or system office </w:t>
            </w:r>
            <w:r w:rsidRPr="00A438F0">
              <w:t>internal memos, email, reports</w:t>
            </w:r>
            <w:r>
              <w:t>,</w:t>
            </w:r>
            <w:r w:rsidRPr="00A438F0">
              <w:t xml:space="preserve"> and financial data identified as non-public</w:t>
            </w:r>
          </w:p>
          <w:p w:rsidR="003E1C23" w:rsidRPr="00A438F0" w:rsidRDefault="003E1C23" w:rsidP="003E1C23">
            <w:pPr>
              <w:numPr>
                <w:ilvl w:val="0"/>
                <w:numId w:val="2"/>
              </w:numPr>
              <w:tabs>
                <w:tab w:val="clear" w:pos="720"/>
                <w:tab w:val="num" w:pos="360"/>
              </w:tabs>
              <w:spacing w:before="100" w:beforeAutospacing="1" w:after="100" w:afterAutospacing="1"/>
              <w:ind w:left="342"/>
            </w:pPr>
            <w:r w:rsidRPr="00A438F0">
              <w:t>Driver</w:t>
            </w:r>
            <w:r>
              <w:t>’s license n</w:t>
            </w:r>
            <w:r w:rsidRPr="00A438F0">
              <w:t>umbers</w:t>
            </w:r>
          </w:p>
          <w:p w:rsidR="003E1C23" w:rsidRPr="00D84CFB" w:rsidRDefault="00410A76" w:rsidP="003E1C23">
            <w:pPr>
              <w:numPr>
                <w:ilvl w:val="0"/>
                <w:numId w:val="2"/>
              </w:numPr>
              <w:tabs>
                <w:tab w:val="clear" w:pos="720"/>
                <w:tab w:val="num" w:pos="360"/>
              </w:tabs>
              <w:spacing w:before="100" w:beforeAutospacing="1" w:after="100" w:afterAutospacing="1"/>
              <w:ind w:left="342"/>
              <w:rPr>
                <w:highlight w:val="lightGray"/>
              </w:rPr>
            </w:pPr>
            <w:r>
              <w:rPr>
                <w:highlight w:val="lightGray"/>
              </w:rPr>
              <w:t>*</w:t>
            </w:r>
            <w:r w:rsidR="003E1C23" w:rsidRPr="00D84CFB">
              <w:rPr>
                <w:highlight w:val="lightGray"/>
              </w:rPr>
              <w:t>Student ID numbers (if not directory data)</w:t>
            </w:r>
            <w:r w:rsidR="003E1C23" w:rsidRPr="001B3AFE">
              <w:t xml:space="preserve"> </w:t>
            </w:r>
            <w:bookmarkStart w:id="0" w:name="_GoBack"/>
            <w:bookmarkEnd w:id="0"/>
            <w:r w:rsidR="003E1C23" w:rsidRPr="00D84CFB">
              <w:t>and passwords</w:t>
            </w:r>
          </w:p>
          <w:p w:rsidR="003E1C23" w:rsidRPr="00A438F0" w:rsidRDefault="003E1C23" w:rsidP="003E1C23">
            <w:pPr>
              <w:numPr>
                <w:ilvl w:val="0"/>
                <w:numId w:val="2"/>
              </w:numPr>
              <w:tabs>
                <w:tab w:val="clear" w:pos="720"/>
                <w:tab w:val="num" w:pos="360"/>
              </w:tabs>
              <w:spacing w:before="100" w:beforeAutospacing="1" w:after="100" w:afterAutospacing="1"/>
              <w:ind w:left="342"/>
            </w:pPr>
            <w:r w:rsidRPr="00A438F0">
              <w:t xml:space="preserve">Employee performance information and other private personnel data </w:t>
            </w:r>
          </w:p>
          <w:p w:rsidR="003E1C23" w:rsidRPr="00A438F0" w:rsidRDefault="003E1C23" w:rsidP="003E1C23">
            <w:pPr>
              <w:numPr>
                <w:ilvl w:val="0"/>
                <w:numId w:val="2"/>
              </w:numPr>
              <w:tabs>
                <w:tab w:val="clear" w:pos="720"/>
                <w:tab w:val="num" w:pos="360"/>
              </w:tabs>
              <w:spacing w:before="100" w:beforeAutospacing="1" w:after="100" w:afterAutospacing="1"/>
              <w:ind w:left="342"/>
            </w:pPr>
            <w:r w:rsidRPr="00A438F0">
              <w:t>Parking lease information</w:t>
            </w:r>
          </w:p>
          <w:p w:rsidR="003E1C23" w:rsidRPr="00A438F0" w:rsidRDefault="003E1C23" w:rsidP="003E1C23">
            <w:pPr>
              <w:numPr>
                <w:ilvl w:val="0"/>
                <w:numId w:val="2"/>
              </w:numPr>
              <w:tabs>
                <w:tab w:val="clear" w:pos="720"/>
                <w:tab w:val="num" w:pos="360"/>
              </w:tabs>
              <w:spacing w:before="100" w:beforeAutospacing="1" w:after="100" w:afterAutospacing="1"/>
              <w:ind w:left="342"/>
            </w:pPr>
            <w:r>
              <w:t>Request for p</w:t>
            </w:r>
            <w:r w:rsidRPr="00A438F0">
              <w:t>roposal vendor responses and scoring information prior to contract award</w:t>
            </w:r>
          </w:p>
          <w:p w:rsidR="003E1C23" w:rsidRPr="00310A58" w:rsidRDefault="003E1C23" w:rsidP="003E1C23">
            <w:pPr>
              <w:numPr>
                <w:ilvl w:val="0"/>
                <w:numId w:val="2"/>
              </w:numPr>
              <w:tabs>
                <w:tab w:val="clear" w:pos="720"/>
                <w:tab w:val="num" w:pos="360"/>
              </w:tabs>
              <w:spacing w:before="100" w:beforeAutospacing="1" w:after="100" w:afterAutospacing="1"/>
              <w:ind w:left="342"/>
            </w:pPr>
            <w:r w:rsidRPr="00A438F0">
              <w:t xml:space="preserve">Credentials for systems that manage data elements in this classification level and systems classified as </w:t>
            </w:r>
            <w:r>
              <w:t>Low</w:t>
            </w:r>
          </w:p>
          <w:p w:rsidR="003E1C23" w:rsidRPr="00A438F0" w:rsidRDefault="003E1C23" w:rsidP="003E1C23">
            <w:pPr>
              <w:numPr>
                <w:ilvl w:val="0"/>
                <w:numId w:val="2"/>
              </w:numPr>
              <w:tabs>
                <w:tab w:val="clear" w:pos="720"/>
                <w:tab w:val="num" w:pos="360"/>
              </w:tabs>
              <w:spacing w:before="100" w:beforeAutospacing="1" w:after="100" w:afterAutospacing="1"/>
              <w:ind w:left="342"/>
            </w:pPr>
            <w:r>
              <w:t>Partial social security n</w:t>
            </w:r>
            <w:r w:rsidRPr="00A438F0">
              <w:t>umber</w:t>
            </w:r>
          </w:p>
          <w:p w:rsidR="003E1C23" w:rsidRPr="00A438F0" w:rsidRDefault="003E1C23" w:rsidP="003E1C23">
            <w:pPr>
              <w:numPr>
                <w:ilvl w:val="0"/>
                <w:numId w:val="2"/>
              </w:numPr>
              <w:tabs>
                <w:tab w:val="clear" w:pos="720"/>
                <w:tab w:val="num" w:pos="360"/>
              </w:tabs>
              <w:spacing w:before="100" w:beforeAutospacing="1" w:after="100" w:afterAutospacing="1"/>
              <w:ind w:left="342"/>
            </w:pPr>
            <w:r w:rsidRPr="00A438F0">
              <w:t>Business continuity and disaster recovery plans</w:t>
            </w:r>
          </w:p>
          <w:p w:rsidR="003E1C23" w:rsidRPr="00A438F0" w:rsidRDefault="003E1C23" w:rsidP="003E1C23">
            <w:pPr>
              <w:numPr>
                <w:ilvl w:val="0"/>
                <w:numId w:val="2"/>
              </w:numPr>
              <w:tabs>
                <w:tab w:val="clear" w:pos="720"/>
                <w:tab w:val="num" w:pos="360"/>
              </w:tabs>
              <w:spacing w:before="100" w:beforeAutospacing="1" w:after="100" w:afterAutospacing="1"/>
              <w:ind w:left="342"/>
            </w:pPr>
            <w:r w:rsidRPr="00A438F0">
              <w:t xml:space="preserve">Security </w:t>
            </w:r>
            <w:r>
              <w:t>i</w:t>
            </w:r>
            <w:r w:rsidRPr="00A438F0">
              <w:t>nforma</w:t>
            </w:r>
            <w:r>
              <w:t>tion as defined by Minn. Stat.</w:t>
            </w:r>
            <w:r w:rsidRPr="00A438F0">
              <w:t xml:space="preserve"> §</w:t>
            </w:r>
            <w:r>
              <w:t xml:space="preserve"> </w:t>
            </w:r>
            <w:r w:rsidRPr="00A438F0">
              <w:t>13.37</w:t>
            </w:r>
          </w:p>
        </w:tc>
      </w:tr>
      <w:tr w:rsidR="003E1C23" w:rsidRPr="00310A58" w:rsidTr="008875B9">
        <w:tc>
          <w:tcPr>
            <w:tcW w:w="1615" w:type="dxa"/>
          </w:tcPr>
          <w:p w:rsidR="003E1C23" w:rsidRPr="00A438F0" w:rsidRDefault="003E1C23" w:rsidP="008875B9">
            <w:pPr>
              <w:rPr>
                <w:b/>
                <w:bCs/>
                <w:color w:val="3F3C30"/>
              </w:rPr>
            </w:pPr>
            <w:r w:rsidRPr="00310A58">
              <w:rPr>
                <w:b/>
                <w:u w:val="single"/>
              </w:rPr>
              <w:lastRenderedPageBreak/>
              <w:t>Data Security Classification</w:t>
            </w:r>
          </w:p>
        </w:tc>
        <w:tc>
          <w:tcPr>
            <w:tcW w:w="3420" w:type="dxa"/>
          </w:tcPr>
          <w:p w:rsidR="003E1C23" w:rsidRPr="00A438F0" w:rsidRDefault="003E1C23" w:rsidP="008875B9">
            <w:pPr>
              <w:jc w:val="center"/>
              <w:rPr>
                <w:rFonts w:eastAsia="Garamond"/>
                <w:bCs/>
              </w:rPr>
            </w:pPr>
            <w:r w:rsidRPr="00310A58">
              <w:rPr>
                <w:b/>
                <w:u w:val="single"/>
              </w:rPr>
              <w:t>Definition</w:t>
            </w:r>
          </w:p>
        </w:tc>
        <w:tc>
          <w:tcPr>
            <w:tcW w:w="4500" w:type="dxa"/>
          </w:tcPr>
          <w:p w:rsidR="003E1C23" w:rsidRPr="00A438F0" w:rsidRDefault="003E1C23" w:rsidP="008875B9">
            <w:pPr>
              <w:ind w:left="-18"/>
              <w:jc w:val="center"/>
              <w:rPr>
                <w:b/>
                <w:u w:val="single"/>
              </w:rPr>
            </w:pPr>
            <w:r w:rsidRPr="00310A58">
              <w:rPr>
                <w:b/>
                <w:u w:val="single"/>
              </w:rPr>
              <w:t>Public Data Elements</w:t>
            </w:r>
          </w:p>
          <w:p w:rsidR="003E1C23" w:rsidRPr="00A438F0" w:rsidRDefault="003E1C23" w:rsidP="008875B9">
            <w:pPr>
              <w:jc w:val="center"/>
            </w:pPr>
            <w:r w:rsidRPr="00310A58">
              <w:rPr>
                <w:b/>
                <w:u w:val="single"/>
              </w:rPr>
              <w:t>(Not an Exhaustive List)</w:t>
            </w:r>
          </w:p>
        </w:tc>
      </w:tr>
      <w:tr w:rsidR="003E1C23" w:rsidRPr="00310A58" w:rsidTr="008875B9">
        <w:tc>
          <w:tcPr>
            <w:tcW w:w="1615" w:type="dxa"/>
          </w:tcPr>
          <w:p w:rsidR="003E1C23" w:rsidRPr="00A438F0" w:rsidRDefault="00D84CFB" w:rsidP="008875B9">
            <w:pPr>
              <w:spacing w:before="240"/>
              <w:jc w:val="center"/>
            </w:pPr>
            <w:r>
              <w:rPr>
                <w:b/>
                <w:bCs/>
                <w:color w:val="3F3C30"/>
              </w:rPr>
              <w:t>Low</w:t>
            </w:r>
          </w:p>
        </w:tc>
        <w:tc>
          <w:tcPr>
            <w:tcW w:w="3420" w:type="dxa"/>
          </w:tcPr>
          <w:p w:rsidR="003E1C23" w:rsidRPr="00A438F0" w:rsidRDefault="003E1C23" w:rsidP="003E1C23">
            <w:r w:rsidRPr="00A438F0">
              <w:t xml:space="preserve">Institutional </w:t>
            </w:r>
            <w:r>
              <w:t>d</w:t>
            </w:r>
            <w:r w:rsidRPr="00A438F0">
              <w:t xml:space="preserve">ata must be </w:t>
            </w:r>
            <w:r>
              <w:t>classified as "Low</w:t>
            </w:r>
            <w:r w:rsidRPr="00A438F0">
              <w:t>" if by law it is available to the public upon request.</w:t>
            </w:r>
          </w:p>
        </w:tc>
        <w:tc>
          <w:tcPr>
            <w:tcW w:w="4500" w:type="dxa"/>
          </w:tcPr>
          <w:p w:rsidR="003E1C23" w:rsidRPr="00A438F0" w:rsidRDefault="003E1C23" w:rsidP="003E1C23">
            <w:pPr>
              <w:numPr>
                <w:ilvl w:val="0"/>
                <w:numId w:val="3"/>
              </w:numPr>
              <w:tabs>
                <w:tab w:val="clear" w:pos="720"/>
                <w:tab w:val="num" w:pos="342"/>
              </w:tabs>
              <w:spacing w:before="100" w:beforeAutospacing="1" w:after="100" w:afterAutospacing="1"/>
              <w:ind w:left="342" w:hanging="342"/>
            </w:pPr>
            <w:r w:rsidRPr="00A438F0">
              <w:t>Certain e</w:t>
            </w:r>
            <w:r>
              <w:t>mployee information</w:t>
            </w:r>
            <w:r w:rsidRPr="00A438F0">
              <w:t xml:space="preserve"> name, job title, job description, work location and phone number, employee </w:t>
            </w:r>
            <w:r>
              <w:t>identifier</w:t>
            </w:r>
            <w:r w:rsidRPr="00A438F0">
              <w:t xml:space="preserve">, salary, gross pension, value and nature of fringe benefits, payroll time sheets, education/training and previous work experience, first and last employment dates, existence and status of complaints, terms of employment settlement disputes, final disposition of discipline, honors and awards received or as identified as public in Minn. Stat. § 13.43, </w:t>
            </w:r>
            <w:proofErr w:type="spellStart"/>
            <w:r w:rsidRPr="00A438F0">
              <w:t>subd</w:t>
            </w:r>
            <w:proofErr w:type="spellEnd"/>
            <w:r w:rsidRPr="00A438F0">
              <w:t>. 2.</w:t>
            </w:r>
          </w:p>
          <w:p w:rsidR="003E1C23" w:rsidRPr="00A438F0" w:rsidRDefault="003E1C23" w:rsidP="003E1C23">
            <w:pPr>
              <w:numPr>
                <w:ilvl w:val="0"/>
                <w:numId w:val="3"/>
              </w:numPr>
              <w:tabs>
                <w:tab w:val="clear" w:pos="720"/>
                <w:tab w:val="num" w:pos="342"/>
              </w:tabs>
              <w:spacing w:before="100" w:beforeAutospacing="1" w:after="100" w:afterAutospacing="1"/>
              <w:ind w:left="342" w:hanging="342"/>
            </w:pPr>
            <w:r w:rsidRPr="00A438F0">
              <w:lastRenderedPageBreak/>
              <w:t>Student information (unless suppressed by the student) name, other information identified as directory information by the college/university</w:t>
            </w:r>
            <w:r>
              <w:t xml:space="preserve"> in its published FERPA p</w:t>
            </w:r>
            <w:r w:rsidRPr="00A438F0">
              <w:t xml:space="preserve">olicy </w:t>
            </w:r>
          </w:p>
          <w:p w:rsidR="003E1C23" w:rsidRPr="00A438F0" w:rsidRDefault="003E1C23" w:rsidP="003E1C23">
            <w:pPr>
              <w:numPr>
                <w:ilvl w:val="0"/>
                <w:numId w:val="3"/>
              </w:numPr>
              <w:tabs>
                <w:tab w:val="clear" w:pos="720"/>
                <w:tab w:val="num" w:pos="342"/>
              </w:tabs>
              <w:spacing w:before="100" w:beforeAutospacing="1" w:after="100" w:afterAutospacing="1"/>
              <w:ind w:left="342" w:hanging="342"/>
            </w:pPr>
            <w:r w:rsidRPr="00A438F0">
              <w:t>Financial data on public sponsored projects</w:t>
            </w:r>
          </w:p>
          <w:p w:rsidR="003E1C23" w:rsidRPr="00A438F0" w:rsidRDefault="003E1C23" w:rsidP="003E1C23">
            <w:pPr>
              <w:numPr>
                <w:ilvl w:val="0"/>
                <w:numId w:val="3"/>
              </w:numPr>
              <w:tabs>
                <w:tab w:val="clear" w:pos="720"/>
                <w:tab w:val="num" w:pos="342"/>
              </w:tabs>
              <w:spacing w:before="100" w:beforeAutospacing="1" w:after="100" w:afterAutospacing="1"/>
              <w:ind w:left="342" w:hanging="342"/>
            </w:pPr>
            <w:r w:rsidRPr="00A438F0">
              <w:t>Course offerings</w:t>
            </w:r>
          </w:p>
          <w:p w:rsidR="003E1C23" w:rsidRPr="00A438F0" w:rsidRDefault="003E1C23" w:rsidP="003E1C23">
            <w:pPr>
              <w:numPr>
                <w:ilvl w:val="0"/>
                <w:numId w:val="3"/>
              </w:numPr>
              <w:tabs>
                <w:tab w:val="clear" w:pos="720"/>
                <w:tab w:val="num" w:pos="342"/>
              </w:tabs>
              <w:spacing w:before="100" w:beforeAutospacing="1" w:after="100" w:afterAutospacing="1"/>
              <w:ind w:left="342" w:hanging="342"/>
            </w:pPr>
            <w:r w:rsidRPr="00A438F0">
              <w:t>Invoices and purchase orders</w:t>
            </w:r>
          </w:p>
          <w:p w:rsidR="003E1C23" w:rsidRPr="00A438F0" w:rsidRDefault="003E1C23" w:rsidP="003E1C23">
            <w:pPr>
              <w:numPr>
                <w:ilvl w:val="0"/>
                <w:numId w:val="3"/>
              </w:numPr>
              <w:tabs>
                <w:tab w:val="clear" w:pos="720"/>
                <w:tab w:val="num" w:pos="342"/>
              </w:tabs>
              <w:spacing w:before="100" w:beforeAutospacing="1" w:after="100" w:afterAutospacing="1"/>
              <w:ind w:left="342" w:hanging="342"/>
            </w:pPr>
            <w:r w:rsidRPr="00A438F0">
              <w:t>Budgets</w:t>
            </w:r>
          </w:p>
          <w:p w:rsidR="003E1C23" w:rsidRPr="00A438F0" w:rsidRDefault="003E1C23" w:rsidP="003E1C23">
            <w:pPr>
              <w:numPr>
                <w:ilvl w:val="0"/>
                <w:numId w:val="3"/>
              </w:numPr>
              <w:tabs>
                <w:tab w:val="clear" w:pos="720"/>
                <w:tab w:val="num" w:pos="342"/>
              </w:tabs>
              <w:spacing w:before="100" w:beforeAutospacing="1" w:after="100" w:afterAutospacing="1"/>
              <w:ind w:left="342" w:hanging="342"/>
            </w:pPr>
            <w:r w:rsidRPr="00A438F0">
              <w:t>“Summary” or statistical data that does not identify an individual</w:t>
            </w:r>
          </w:p>
          <w:p w:rsidR="003E1C23" w:rsidRPr="00A438F0" w:rsidRDefault="003E1C23" w:rsidP="003E1C23">
            <w:pPr>
              <w:numPr>
                <w:ilvl w:val="0"/>
                <w:numId w:val="3"/>
              </w:numPr>
              <w:tabs>
                <w:tab w:val="clear" w:pos="720"/>
                <w:tab w:val="num" w:pos="342"/>
              </w:tabs>
              <w:spacing w:before="100" w:beforeAutospacing="1" w:after="100" w:afterAutospacing="1"/>
              <w:ind w:left="342" w:hanging="342"/>
            </w:pPr>
            <w:r w:rsidRPr="00A438F0">
              <w:t xml:space="preserve">Information authorized to be </w:t>
            </w:r>
            <w:r>
              <w:t xml:space="preserve">made </w:t>
            </w:r>
            <w:r w:rsidRPr="00A438F0">
              <w:t xml:space="preserve">available on or through a website that does not require </w:t>
            </w:r>
            <w:r>
              <w:t>a Minnesota State recognized</w:t>
            </w:r>
            <w:r w:rsidRPr="00A438F0">
              <w:t xml:space="preserve"> authentication </w:t>
            </w:r>
            <w:r>
              <w:t xml:space="preserve">system </w:t>
            </w:r>
            <w:r w:rsidRPr="00A438F0">
              <w:t>(e.g.</w:t>
            </w:r>
            <w:r>
              <w:t>,</w:t>
            </w:r>
            <w:r w:rsidRPr="00A438F0">
              <w:t xml:space="preserve"> </w:t>
            </w:r>
            <w:proofErr w:type="spellStart"/>
            <w:r w:rsidRPr="00A438F0">
              <w:t>StarID</w:t>
            </w:r>
            <w:proofErr w:type="spellEnd"/>
            <w:r w:rsidRPr="00A438F0">
              <w:t>)</w:t>
            </w:r>
          </w:p>
          <w:p w:rsidR="003E1C23" w:rsidRPr="00A438F0" w:rsidRDefault="003E1C23" w:rsidP="003E1C23">
            <w:pPr>
              <w:numPr>
                <w:ilvl w:val="0"/>
                <w:numId w:val="3"/>
              </w:numPr>
              <w:tabs>
                <w:tab w:val="clear" w:pos="720"/>
                <w:tab w:val="num" w:pos="342"/>
              </w:tabs>
              <w:spacing w:before="100" w:beforeAutospacing="1" w:after="100" w:afterAutospacing="1"/>
              <w:ind w:left="342" w:hanging="342"/>
            </w:pPr>
            <w:r>
              <w:t>Published research d</w:t>
            </w:r>
            <w:r w:rsidRPr="00A438F0">
              <w:t>ata</w:t>
            </w:r>
          </w:p>
          <w:p w:rsidR="003E1C23" w:rsidRPr="00A438F0" w:rsidRDefault="003E1C23" w:rsidP="003E1C23">
            <w:pPr>
              <w:numPr>
                <w:ilvl w:val="0"/>
                <w:numId w:val="3"/>
              </w:numPr>
              <w:tabs>
                <w:tab w:val="clear" w:pos="720"/>
                <w:tab w:val="num" w:pos="342"/>
              </w:tabs>
              <w:spacing w:before="100" w:beforeAutospacing="1" w:after="100" w:afterAutospacing="1"/>
              <w:ind w:left="342" w:hanging="342"/>
            </w:pPr>
            <w:r w:rsidRPr="00A438F0">
              <w:t>Campus maps</w:t>
            </w:r>
          </w:p>
          <w:p w:rsidR="003E1C23" w:rsidRPr="00310A58" w:rsidRDefault="003E1C23" w:rsidP="003E1C23">
            <w:pPr>
              <w:numPr>
                <w:ilvl w:val="0"/>
                <w:numId w:val="3"/>
              </w:numPr>
              <w:tabs>
                <w:tab w:val="clear" w:pos="720"/>
                <w:tab w:val="num" w:pos="342"/>
              </w:tabs>
              <w:spacing w:before="100" w:beforeAutospacing="1" w:after="100" w:afterAutospacing="1"/>
              <w:ind w:left="342" w:hanging="342"/>
            </w:pPr>
            <w:r w:rsidRPr="00A438F0">
              <w:t>Job postings</w:t>
            </w:r>
          </w:p>
          <w:p w:rsidR="003E1C23" w:rsidRPr="00A438F0" w:rsidRDefault="003E1C23" w:rsidP="003E1C23">
            <w:pPr>
              <w:numPr>
                <w:ilvl w:val="0"/>
                <w:numId w:val="3"/>
              </w:numPr>
              <w:tabs>
                <w:tab w:val="clear" w:pos="720"/>
                <w:tab w:val="num" w:pos="342"/>
              </w:tabs>
              <w:spacing w:before="100" w:beforeAutospacing="1" w:after="100" w:afterAutospacing="1"/>
              <w:ind w:left="342" w:hanging="342"/>
            </w:pPr>
            <w:r w:rsidRPr="00A438F0">
              <w:t xml:space="preserve">Information in the </w:t>
            </w:r>
            <w:hyperlink r:id="rId5" w:anchor="public_domain" w:history="1">
              <w:r w:rsidRPr="00A438F0">
                <w:t>public domain</w:t>
              </w:r>
            </w:hyperlink>
          </w:p>
        </w:tc>
      </w:tr>
    </w:tbl>
    <w:p w:rsidR="003E1C23" w:rsidRDefault="003E1C23" w:rsidP="003E1C23">
      <w:pPr>
        <w:pStyle w:val="Heading4"/>
        <w:numPr>
          <w:ilvl w:val="0"/>
          <w:numId w:val="0"/>
        </w:numPr>
        <w:spacing w:after="0"/>
        <w:ind w:left="1166"/>
        <w:rPr>
          <w:rFonts w:ascii="Times New Roman" w:hAnsi="Times New Roman" w:cs="Times New Roman"/>
          <w:sz w:val="24"/>
          <w:szCs w:val="24"/>
        </w:rPr>
      </w:pPr>
    </w:p>
    <w:p w:rsidR="00491C01" w:rsidRDefault="00410A76">
      <w:r>
        <w:rPr>
          <w:highlight w:val="lightGray"/>
        </w:rPr>
        <w:t>*</w:t>
      </w:r>
      <w:r w:rsidR="00D84CFB" w:rsidRPr="00410A76">
        <w:rPr>
          <w:highlight w:val="lightGray"/>
        </w:rPr>
        <w:t xml:space="preserve">Limited Directory Data (LDD) at SMSU.  </w:t>
      </w:r>
    </w:p>
    <w:sectPr w:rsidR="00491C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10B"/>
    <w:multiLevelType w:val="multilevel"/>
    <w:tmpl w:val="1AC0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056F6E"/>
    <w:multiLevelType w:val="multilevel"/>
    <w:tmpl w:val="44CA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B23C2C"/>
    <w:multiLevelType w:val="multilevel"/>
    <w:tmpl w:val="78CCCA0E"/>
    <w:lvl w:ilvl="0">
      <w:start w:val="1"/>
      <w:numFmt w:val="decimal"/>
      <w:pStyle w:val="Heading1"/>
      <w:suff w:val="space"/>
      <w:lvlText w:val="Part %1. "/>
      <w:lvlJc w:val="left"/>
      <w:pPr>
        <w:ind w:left="-720" w:firstLine="720"/>
      </w:pPr>
      <w:rPr>
        <w:rFonts w:ascii="Times New Roman" w:hAnsi="Times New Roman" w:hint="default"/>
        <w:b/>
        <w:i w:val="0"/>
        <w:sz w:val="24"/>
      </w:rPr>
    </w:lvl>
    <w:lvl w:ilvl="1">
      <w:start w:val="1"/>
      <w:numFmt w:val="upperLetter"/>
      <w:pStyle w:val="Heading2"/>
      <w:suff w:val="space"/>
      <w:lvlText w:val="Subpart %2. "/>
      <w:lvlJc w:val="left"/>
      <w:pPr>
        <w:ind w:left="5040" w:firstLine="720"/>
      </w:pPr>
      <w:rPr>
        <w:rFonts w:ascii="Times New Roman" w:hAnsi="Times New Roman" w:hint="default"/>
        <w:b/>
        <w:i w:val="0"/>
        <w:sz w:val="24"/>
      </w:rPr>
    </w:lvl>
    <w:lvl w:ilvl="2">
      <w:start w:val="1"/>
      <w:numFmt w:val="decimal"/>
      <w:pStyle w:val="Heading3"/>
      <w:suff w:val="space"/>
      <w:lvlText w:val="Subpart %2.%3. "/>
      <w:lvlJc w:val="left"/>
      <w:pPr>
        <w:ind w:left="0" w:firstLine="0"/>
      </w:pPr>
      <w:rPr>
        <w:rFonts w:ascii="Helvetica" w:hAnsi="Helvetica" w:hint="default"/>
        <w:b/>
        <w:i w:val="0"/>
        <w:sz w:val="20"/>
      </w:rPr>
    </w:lvl>
    <w:lvl w:ilvl="3">
      <w:start w:val="1"/>
      <w:numFmt w:val="decimal"/>
      <w:pStyle w:val="Heading4"/>
      <w:lvlText w:val="(%4)"/>
      <w:lvlJc w:val="left"/>
      <w:pPr>
        <w:tabs>
          <w:tab w:val="num" w:pos="1080"/>
        </w:tabs>
        <w:ind w:left="1080" w:hanging="72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15:restartNumberingAfterBreak="0">
    <w:nsid w:val="72E9240C"/>
    <w:multiLevelType w:val="hybridMultilevel"/>
    <w:tmpl w:val="D8BAF8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C34D8"/>
    <w:multiLevelType w:val="hybridMultilevel"/>
    <w:tmpl w:val="EF22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23"/>
    <w:rsid w:val="001B3AFE"/>
    <w:rsid w:val="003E1C23"/>
    <w:rsid w:val="00410A76"/>
    <w:rsid w:val="00491C01"/>
    <w:rsid w:val="00BD4C5F"/>
    <w:rsid w:val="00D8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5BEA"/>
  <w15:chartTrackingRefBased/>
  <w15:docId w15:val="{36F1F612-F8EA-45CF-AE60-387D7AA4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C23"/>
    <w:pPr>
      <w:spacing w:after="0" w:line="240" w:lineRule="auto"/>
    </w:pPr>
    <w:rPr>
      <w:rFonts w:ascii="Times New Roman" w:eastAsia="Times New Roman" w:hAnsi="Times New Roman" w:cs="Times New Roman"/>
      <w:sz w:val="24"/>
      <w:szCs w:val="24"/>
    </w:rPr>
  </w:style>
  <w:style w:type="paragraph" w:styleId="Heading1">
    <w:name w:val="heading 1"/>
    <w:basedOn w:val="BodyText"/>
    <w:next w:val="Heading2"/>
    <w:link w:val="Heading1Char"/>
    <w:qFormat/>
    <w:rsid w:val="003E1C23"/>
    <w:pPr>
      <w:keepNext/>
      <w:keepLines/>
      <w:numPr>
        <w:numId w:val="1"/>
      </w:numPr>
      <w:spacing w:before="240" w:after="240"/>
      <w:ind w:left="0" w:firstLine="0"/>
      <w:outlineLvl w:val="0"/>
    </w:pPr>
    <w:rPr>
      <w:rFonts w:ascii="Helvetica" w:hAnsi="Helvetica" w:cs="Arial"/>
      <w:b/>
      <w:bCs/>
      <w:color w:val="231C02"/>
      <w:kern w:val="36"/>
      <w:sz w:val="28"/>
      <w:szCs w:val="48"/>
    </w:rPr>
  </w:style>
  <w:style w:type="paragraph" w:styleId="Heading2">
    <w:name w:val="heading 2"/>
    <w:basedOn w:val="Heading1"/>
    <w:link w:val="Heading2Char"/>
    <w:qFormat/>
    <w:rsid w:val="003E1C23"/>
    <w:pPr>
      <w:keepNext w:val="0"/>
      <w:numPr>
        <w:ilvl w:val="1"/>
      </w:numPr>
      <w:spacing w:before="0" w:after="120"/>
      <w:ind w:left="0" w:firstLine="0"/>
      <w:outlineLvl w:val="1"/>
    </w:pPr>
    <w:rPr>
      <w:rFonts w:ascii="Palatino Linotype" w:hAnsi="Palatino Linotype"/>
      <w:b w:val="0"/>
      <w:bCs w:val="0"/>
      <w:iCs/>
      <w:sz w:val="22"/>
      <w:szCs w:val="28"/>
    </w:rPr>
  </w:style>
  <w:style w:type="paragraph" w:styleId="Heading3">
    <w:name w:val="heading 3"/>
    <w:basedOn w:val="Heading2"/>
    <w:link w:val="Heading3Char"/>
    <w:qFormat/>
    <w:rsid w:val="003E1C23"/>
    <w:pPr>
      <w:numPr>
        <w:ilvl w:val="2"/>
      </w:numPr>
      <w:outlineLvl w:val="2"/>
    </w:pPr>
    <w:rPr>
      <w:bCs/>
      <w:szCs w:val="26"/>
    </w:rPr>
  </w:style>
  <w:style w:type="paragraph" w:styleId="Heading4">
    <w:name w:val="heading 4"/>
    <w:basedOn w:val="Heading3"/>
    <w:link w:val="Heading4Char"/>
    <w:qFormat/>
    <w:rsid w:val="003E1C23"/>
    <w:pPr>
      <w:numPr>
        <w:ilvl w:val="3"/>
      </w:numPr>
      <w:outlineLvl w:val="3"/>
    </w:pPr>
    <w:rPr>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1C23"/>
    <w:rPr>
      <w:rFonts w:ascii="Helvetica" w:eastAsia="Times New Roman" w:hAnsi="Helvetica" w:cs="Arial"/>
      <w:b/>
      <w:bCs/>
      <w:color w:val="231C02"/>
      <w:kern w:val="36"/>
      <w:sz w:val="28"/>
      <w:szCs w:val="48"/>
    </w:rPr>
  </w:style>
  <w:style w:type="character" w:customStyle="1" w:styleId="Heading2Char">
    <w:name w:val="Heading 2 Char"/>
    <w:basedOn w:val="DefaultParagraphFont"/>
    <w:link w:val="Heading2"/>
    <w:rsid w:val="003E1C23"/>
    <w:rPr>
      <w:rFonts w:ascii="Palatino Linotype" w:eastAsia="Times New Roman" w:hAnsi="Palatino Linotype" w:cs="Arial"/>
      <w:iCs/>
      <w:color w:val="231C02"/>
      <w:kern w:val="36"/>
      <w:szCs w:val="28"/>
    </w:rPr>
  </w:style>
  <w:style w:type="character" w:customStyle="1" w:styleId="Heading3Char">
    <w:name w:val="Heading 3 Char"/>
    <w:basedOn w:val="DefaultParagraphFont"/>
    <w:link w:val="Heading3"/>
    <w:rsid w:val="003E1C23"/>
    <w:rPr>
      <w:rFonts w:ascii="Palatino Linotype" w:eastAsia="Times New Roman" w:hAnsi="Palatino Linotype" w:cs="Arial"/>
      <w:bCs/>
      <w:iCs/>
      <w:color w:val="231C02"/>
      <w:kern w:val="36"/>
      <w:szCs w:val="26"/>
    </w:rPr>
  </w:style>
  <w:style w:type="character" w:customStyle="1" w:styleId="Heading4Char">
    <w:name w:val="Heading 4 Char"/>
    <w:basedOn w:val="DefaultParagraphFont"/>
    <w:link w:val="Heading4"/>
    <w:rsid w:val="003E1C23"/>
    <w:rPr>
      <w:rFonts w:ascii="Palatino Linotype" w:eastAsia="Times New Roman" w:hAnsi="Palatino Linotype" w:cs="Arial"/>
      <w:bCs/>
      <w:iCs/>
      <w:color w:val="231C02"/>
      <w:kern w:val="36"/>
      <w:szCs w:val="28"/>
    </w:rPr>
  </w:style>
  <w:style w:type="paragraph" w:styleId="ListParagraph">
    <w:name w:val="List Paragraph"/>
    <w:basedOn w:val="Normal"/>
    <w:rsid w:val="003E1C23"/>
    <w:pPr>
      <w:ind w:left="720"/>
      <w:contextualSpacing/>
    </w:pPr>
  </w:style>
  <w:style w:type="table" w:styleId="TableGrid">
    <w:name w:val="Table Grid"/>
    <w:basedOn w:val="TableNormal"/>
    <w:uiPriority w:val="39"/>
    <w:rsid w:val="003E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E1C23"/>
    <w:pPr>
      <w:spacing w:after="120"/>
    </w:pPr>
  </w:style>
  <w:style w:type="character" w:customStyle="1" w:styleId="BodyTextChar">
    <w:name w:val="Body Text Char"/>
    <w:basedOn w:val="DefaultParagraphFont"/>
    <w:link w:val="BodyText"/>
    <w:uiPriority w:val="99"/>
    <w:semiHidden/>
    <w:rsid w:val="003E1C2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pyright.gov/help/faq/faq-definiti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Baun</dc:creator>
  <cp:keywords/>
  <dc:description/>
  <cp:lastModifiedBy>Dan Baun</cp:lastModifiedBy>
  <cp:revision>3</cp:revision>
  <dcterms:created xsi:type="dcterms:W3CDTF">2018-05-09T19:33:00Z</dcterms:created>
  <dcterms:modified xsi:type="dcterms:W3CDTF">2018-05-09T22:05:00Z</dcterms:modified>
</cp:coreProperties>
</file>